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632D" w:rsidRPr="006A632D" w:rsidRDefault="00F4340A" w:rsidP="006A632D">
      <w:pPr>
        <w:rPr>
          <w:rFonts w:ascii="Arial" w:hAnsi="Arial" w:cs="Arial"/>
          <w:sz w:val="20"/>
          <w:szCs w:val="20"/>
        </w:rPr>
        <w:sectPr w:rsidR="006A632D" w:rsidRPr="006A632D" w:rsidSect="00F4340A">
          <w:headerReference w:type="even" r:id="rId9"/>
          <w:headerReference w:type="default" r:id="rId10"/>
          <w:footerReference w:type="even" r:id="rId11"/>
          <w:footerReference w:type="default" r:id="rId12"/>
          <w:headerReference w:type="first" r:id="rId13"/>
          <w:footerReference w:type="first" r:id="rId14"/>
          <w:pgSz w:w="15840" w:h="12240" w:orient="landscape"/>
          <w:pgMar w:top="288" w:right="720" w:bottom="288" w:left="720" w:header="144" w:footer="720" w:gutter="0"/>
          <w:cols w:sep="1" w:space="720"/>
          <w:docGrid w:linePitch="360"/>
        </w:sectPr>
      </w:pPr>
      <w:r w:rsidRPr="00F4340A">
        <w:rPr>
          <w:rFonts w:ascii="Arial" w:hAnsi="Arial" w:cs="Arial"/>
          <w:b/>
          <w:i/>
          <w:noProof/>
        </w:rPr>
        <mc:AlternateContent>
          <mc:Choice Requires="wps">
            <w:drawing>
              <wp:anchor distT="91440" distB="91440" distL="182880" distR="182880" simplePos="0" relativeHeight="251659264" behindDoc="1" locked="0" layoutInCell="0" allowOverlap="1" wp14:anchorId="24E0559F" wp14:editId="4D418D40">
                <wp:simplePos x="0" y="0"/>
                <wp:positionH relativeFrom="margin">
                  <wp:posOffset>2676525</wp:posOffset>
                </wp:positionH>
                <wp:positionV relativeFrom="margin">
                  <wp:posOffset>-57150</wp:posOffset>
                </wp:positionV>
                <wp:extent cx="2377440" cy="866775"/>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866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sz w:val="28"/>
                                <w:szCs w:val="28"/>
                              </w:rPr>
                            </w:pPr>
                            <w:r w:rsidRPr="00F4340A">
                              <w:rPr>
                                <w:rFonts w:ascii="Arial" w:hAnsi="Arial" w:cs="Arial"/>
                                <w:b/>
                                <w:iCs/>
                                <w:color w:val="6076B4" w:themeColor="accent1"/>
                                <w:sz w:val="28"/>
                                <w:szCs w:val="28"/>
                              </w:rPr>
                              <w:t>America</w:t>
                            </w:r>
                            <w:r>
                              <w:rPr>
                                <w:rFonts w:ascii="Arial" w:hAnsi="Arial" w:cs="Arial"/>
                                <w:b/>
                                <w:iCs/>
                                <w:color w:val="6076B4" w:themeColor="accent1"/>
                                <w:sz w:val="28"/>
                                <w:szCs w:val="28"/>
                              </w:rPr>
                              <w:t>n Subcontractors</w:t>
                            </w:r>
                            <w:r w:rsidRPr="00F4340A">
                              <w:rPr>
                                <w:rFonts w:ascii="Arial" w:hAnsi="Arial" w:cs="Arial"/>
                                <w:b/>
                                <w:iCs/>
                                <w:color w:val="6076B4" w:themeColor="accent1"/>
                                <w:sz w:val="28"/>
                                <w:szCs w:val="28"/>
                              </w:rPr>
                              <w:t xml:space="preserve"> Association, Inc.</w:t>
                            </w:r>
                          </w:p>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sidRPr="00F4340A">
                              <w:rPr>
                                <w:rFonts w:ascii="Arial" w:hAnsi="Arial" w:cs="Arial"/>
                                <w:b/>
                                <w:iCs/>
                                <w:color w:val="6076B4" w:themeColor="accent1"/>
                              </w:rPr>
                              <w:t>Subcontractor’s Negotiating Tip Sheet</w:t>
                            </w:r>
                          </w:p>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sidRPr="00F4340A">
                              <w:rPr>
                                <w:rFonts w:ascii="Arial" w:hAnsi="Arial" w:cs="Arial"/>
                                <w:b/>
                                <w:iCs/>
                                <w:color w:val="6076B4" w:themeColor="accent1"/>
                              </w:rPr>
                              <w:t>“Pay-if-Paid” Clause</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id="Rectangle 386" o:spid="_x0000_s1026" style="position:absolute;margin-left:210.75pt;margin-top:-4.5pt;width:187.2pt;height:68.25pt;z-index:-251657216;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" o:allowincell="f" filled="f" stroked="f" strokecolor="#90b5e3" strokeweight="6pt">
                <v:shadow on="t" type="perspective" color="#2f6ebe" opacity=".5" offset="6pt,6pt" matrix="66191f,,,66191f"/>
                <v:textbox inset="0,0,0,0">
                  <w:txbxContent>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sz w:val="28"/>
                          <w:szCs w:val="28"/>
                        </w:rPr>
                      </w:pPr>
                      <w:r w:rsidRPr="00F4340A">
                        <w:rPr>
                          <w:rFonts w:ascii="Arial" w:hAnsi="Arial" w:cs="Arial"/>
                          <w:b/>
                          <w:iCs/>
                          <w:color w:val="6076B4" w:themeColor="accent1"/>
                          <w:sz w:val="28"/>
                          <w:szCs w:val="28"/>
                        </w:rPr>
                        <w:t>America</w:t>
                      </w:r>
                      <w:r>
                        <w:rPr>
                          <w:rFonts w:ascii="Arial" w:hAnsi="Arial" w:cs="Arial"/>
                          <w:b/>
                          <w:iCs/>
                          <w:color w:val="6076B4" w:themeColor="accent1"/>
                          <w:sz w:val="28"/>
                          <w:szCs w:val="28"/>
                        </w:rPr>
                        <w:t>n Subcontractors</w:t>
                      </w:r>
                      <w:r w:rsidRPr="00F4340A">
                        <w:rPr>
                          <w:rFonts w:ascii="Arial" w:hAnsi="Arial" w:cs="Arial"/>
                          <w:b/>
                          <w:iCs/>
                          <w:color w:val="6076B4" w:themeColor="accent1"/>
                          <w:sz w:val="28"/>
                          <w:szCs w:val="28"/>
                        </w:rPr>
                        <w:t xml:space="preserve"> Association, Inc.</w:t>
                      </w:r>
                    </w:p>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sidRPr="00F4340A">
                        <w:rPr>
                          <w:rFonts w:ascii="Arial" w:hAnsi="Arial" w:cs="Arial"/>
                          <w:b/>
                          <w:iCs/>
                          <w:color w:val="6076B4" w:themeColor="accent1"/>
                        </w:rPr>
                        <w:t>Subcontractor’s Negotiating Tip Sheet</w:t>
                      </w:r>
                    </w:p>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sidRPr="00F4340A">
                        <w:rPr>
                          <w:rFonts w:ascii="Arial" w:hAnsi="Arial" w:cs="Arial"/>
                          <w:b/>
                          <w:iCs/>
                          <w:color w:val="6076B4" w:themeColor="accent1"/>
                        </w:rPr>
                        <w:t>“Pay-if-Paid” Clause</w:t>
                      </w:r>
                    </w:p>
                  </w:txbxContent>
                </v:textbox>
                <w10:wrap type="square" anchorx="margin" anchory="margin"/>
              </v:rect>
            </w:pict>
          </mc:Fallback>
        </mc:AlternateContent>
      </w:r>
      <w:r w:rsidR="00337184">
        <w:rPr>
          <w:noProof/>
        </w:rPr>
        <w:drawing>
          <wp:inline distT="0" distB="0" distL="0" distR="0" wp14:anchorId="66D4BDF1" wp14:editId="0A87C3C2">
            <wp:extent cx="100012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ogo-blue-small.jpg"/>
                    <pic:cNvPicPr/>
                  </pic:nvPicPr>
                  <pic:blipFill>
                    <a:blip r:embed="rId15">
                      <a:extLst>
                        <a:ext uri="{28A0092B-C50C-407E-A947-70E740481C1C}">
                          <a14:useLocalDpi xmlns:a14="http://schemas.microsoft.com/office/drawing/2010/main" val="0"/>
                        </a:ext>
                      </a:extLst>
                    </a:blip>
                    <a:stretch>
                      <a:fillRect/>
                    </a:stretch>
                  </pic:blipFill>
                  <pic:spPr>
                    <a:xfrm>
                      <a:off x="0" y="0"/>
                      <a:ext cx="1007198" cy="776981"/>
                    </a:xfrm>
                    <a:prstGeom prst="rect">
                      <a:avLst/>
                    </a:prstGeom>
                  </pic:spPr>
                </pic:pic>
              </a:graphicData>
            </a:graphic>
          </wp:inline>
        </w:drawing>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p>
    <w:p w:rsidR="006A632D" w:rsidRPr="00F4340A" w:rsidRDefault="006A632D" w:rsidP="006A632D">
      <w:pPr>
        <w:jc w:val="center"/>
        <w:rPr>
          <w:rFonts w:ascii="Arial" w:hAnsi="Arial" w:cs="Arial"/>
          <w:color w:val="2F5897" w:themeColor="text2"/>
          <w:sz w:val="20"/>
          <w:szCs w:val="20"/>
        </w:rPr>
      </w:pPr>
      <w:r w:rsidRPr="00F4340A">
        <w:rPr>
          <w:rFonts w:ascii="Arial" w:hAnsi="Arial" w:cs="Arial"/>
          <w:b/>
          <w:color w:val="2F5897" w:themeColor="text2"/>
          <w:sz w:val="20"/>
          <w:szCs w:val="20"/>
        </w:rPr>
        <w:lastRenderedPageBreak/>
        <w:t>Sample Language</w:t>
      </w:r>
    </w:p>
    <w:p w:rsidR="006A632D" w:rsidRDefault="006A632D" w:rsidP="006A632D">
      <w:pPr>
        <w:rPr>
          <w:rFonts w:ascii="Arial" w:hAnsi="Arial" w:cs="Arial"/>
          <w:sz w:val="20"/>
          <w:szCs w:val="20"/>
        </w:rPr>
      </w:pPr>
    </w:p>
    <w:p w:rsidR="006A632D" w:rsidRPr="00F4340A" w:rsidRDefault="006A632D" w:rsidP="00F4340A">
      <w:pPr>
        <w:rPr>
          <w:rFonts w:ascii="Arial" w:hAnsi="Arial" w:cs="Arial"/>
          <w:i/>
          <w:color w:val="2F5897" w:themeColor="text2"/>
          <w:sz w:val="20"/>
          <w:szCs w:val="20"/>
        </w:rPr>
      </w:pPr>
      <w:r w:rsidRPr="00F4340A">
        <w:rPr>
          <w:rFonts w:ascii="Arial" w:hAnsi="Arial" w:cs="Arial"/>
          <w:b/>
          <w:color w:val="2F5897" w:themeColor="text2"/>
          <w:sz w:val="20"/>
          <w:szCs w:val="20"/>
        </w:rPr>
        <w:t>ASA Recommends:</w:t>
      </w:r>
    </w:p>
    <w:p w:rsidR="006A632D" w:rsidRDefault="006A632D" w:rsidP="006A632D">
      <w:pPr>
        <w:rPr>
          <w:rFonts w:ascii="Arial" w:hAnsi="Arial" w:cs="Arial"/>
          <w:sz w:val="20"/>
          <w:szCs w:val="20"/>
        </w:rPr>
      </w:pPr>
      <w:r>
        <w:rPr>
          <w:rFonts w:ascii="Arial" w:hAnsi="Arial" w:cs="Arial"/>
          <w:sz w:val="20"/>
          <w:szCs w:val="20"/>
        </w:rPr>
        <w:t>“Subcontractor does not accept the risk of Customer’s receipt of payments from any source, and in no event will payments to Subcontractor be based upon or subject to, Customer’s receipt of payment for Subcontractor’s work.”</w:t>
      </w:r>
    </w:p>
    <w:p w:rsidR="006A632D" w:rsidRDefault="006A632D" w:rsidP="006A632D">
      <w:pPr>
        <w:rPr>
          <w:rFonts w:ascii="Arial" w:hAnsi="Arial" w:cs="Arial"/>
          <w:sz w:val="20"/>
          <w:szCs w:val="20"/>
        </w:rPr>
      </w:pPr>
    </w:p>
    <w:p w:rsidR="006A632D" w:rsidRPr="00F4340A" w:rsidRDefault="006A632D" w:rsidP="006A632D">
      <w:pPr>
        <w:rPr>
          <w:rFonts w:ascii="Arial" w:hAnsi="Arial" w:cs="Arial"/>
          <w:color w:val="2F5897" w:themeColor="text2"/>
          <w:sz w:val="20"/>
          <w:szCs w:val="20"/>
        </w:rPr>
      </w:pPr>
      <w:r w:rsidRPr="00F4340A">
        <w:rPr>
          <w:rFonts w:ascii="Arial" w:hAnsi="Arial" w:cs="Arial"/>
          <w:b/>
          <w:color w:val="2F5897" w:themeColor="text2"/>
          <w:sz w:val="20"/>
          <w:szCs w:val="20"/>
        </w:rPr>
        <w:t>What You May See in the Wild:</w:t>
      </w:r>
    </w:p>
    <w:p w:rsidR="006A632D" w:rsidRDefault="006A632D" w:rsidP="006A632D">
      <w:pPr>
        <w:rPr>
          <w:rFonts w:ascii="Arial" w:hAnsi="Arial" w:cs="Arial"/>
          <w:sz w:val="20"/>
          <w:szCs w:val="20"/>
        </w:rPr>
      </w:pPr>
      <w:r>
        <w:rPr>
          <w:rFonts w:ascii="Arial" w:hAnsi="Arial" w:cs="Arial"/>
          <w:b/>
          <w:sz w:val="20"/>
          <w:szCs w:val="20"/>
        </w:rPr>
        <w:t>Example #1:</w:t>
      </w:r>
      <w:r>
        <w:rPr>
          <w:rFonts w:ascii="Arial" w:hAnsi="Arial" w:cs="Arial"/>
          <w:sz w:val="20"/>
          <w:szCs w:val="20"/>
        </w:rPr>
        <w:t xml:space="preserve"> </w:t>
      </w:r>
      <w:r w:rsidR="00F4340A">
        <w:rPr>
          <w:rFonts w:ascii="Arial" w:hAnsi="Arial" w:cs="Arial"/>
          <w:sz w:val="20"/>
          <w:szCs w:val="20"/>
        </w:rPr>
        <w:t>“Payment of the approved portion of the Subcontractor’s monthly estimate shall be conditioned upon receipt by the General Contractor of its payment from the Owner.”</w:t>
      </w:r>
    </w:p>
    <w:p w:rsidR="00F4340A" w:rsidRDefault="00F4340A" w:rsidP="006A632D">
      <w:pPr>
        <w:rPr>
          <w:rFonts w:ascii="Arial" w:hAnsi="Arial" w:cs="Arial"/>
          <w:sz w:val="20"/>
          <w:szCs w:val="20"/>
        </w:rPr>
      </w:pPr>
    </w:p>
    <w:p w:rsidR="00F4340A" w:rsidRDefault="00F4340A" w:rsidP="006A632D">
      <w:pPr>
        <w:rPr>
          <w:rFonts w:ascii="Arial" w:hAnsi="Arial" w:cs="Arial"/>
          <w:sz w:val="20"/>
          <w:szCs w:val="20"/>
        </w:rPr>
      </w:pPr>
      <w:r>
        <w:rPr>
          <w:rFonts w:ascii="Arial" w:hAnsi="Arial" w:cs="Arial"/>
          <w:b/>
          <w:sz w:val="20"/>
          <w:szCs w:val="20"/>
        </w:rPr>
        <w:t>Example #2:</w:t>
      </w:r>
      <w:r>
        <w:rPr>
          <w:rFonts w:ascii="Arial" w:hAnsi="Arial" w:cs="Arial"/>
          <w:sz w:val="20"/>
          <w:szCs w:val="20"/>
        </w:rPr>
        <w:t xml:space="preserve"> “The General Contractor will pay the Subcontractor only if the General Contractor has been paid by the Owner.”</w:t>
      </w:r>
    </w:p>
    <w:p w:rsidR="00F4340A" w:rsidRDefault="00F4340A" w:rsidP="006A632D">
      <w:pPr>
        <w:rPr>
          <w:rFonts w:ascii="Arial" w:hAnsi="Arial" w:cs="Arial"/>
          <w:sz w:val="20"/>
          <w:szCs w:val="20"/>
        </w:rPr>
      </w:pPr>
    </w:p>
    <w:p w:rsidR="00F4340A" w:rsidRDefault="00F4340A" w:rsidP="006A632D">
      <w:pPr>
        <w:rPr>
          <w:rFonts w:ascii="Arial" w:hAnsi="Arial" w:cs="Arial"/>
          <w:sz w:val="20"/>
          <w:szCs w:val="20"/>
        </w:rPr>
      </w:pPr>
      <w:r>
        <w:rPr>
          <w:rFonts w:ascii="Arial" w:hAnsi="Arial" w:cs="Arial"/>
          <w:b/>
          <w:sz w:val="20"/>
          <w:szCs w:val="20"/>
        </w:rPr>
        <w:t>Example #3:</w:t>
      </w:r>
      <w:r>
        <w:rPr>
          <w:rFonts w:ascii="Arial" w:hAnsi="Arial" w:cs="Arial"/>
          <w:sz w:val="20"/>
          <w:szCs w:val="20"/>
        </w:rPr>
        <w:t xml:space="preserve"> “Receipt of payment from the Owner by the General Contractor for the Subcontractor’s work is an absolute condition precedent to the Subcontractor’s right to payment.”</w:t>
      </w:r>
    </w:p>
    <w:p w:rsidR="00B75710" w:rsidRDefault="00B75710" w:rsidP="006A632D">
      <w:pPr>
        <w:rPr>
          <w:rFonts w:ascii="Arial" w:hAnsi="Arial" w:cs="Arial"/>
          <w:sz w:val="20"/>
          <w:szCs w:val="20"/>
        </w:rPr>
      </w:pPr>
    </w:p>
    <w:p w:rsidR="00B75710" w:rsidRDefault="00B75710" w:rsidP="00B75710">
      <w:pPr>
        <w:jc w:val="center"/>
        <w:rPr>
          <w:rFonts w:ascii="Arial" w:hAnsi="Arial" w:cs="Arial"/>
          <w:b/>
          <w:sz w:val="20"/>
          <w:szCs w:val="20"/>
        </w:rPr>
      </w:pPr>
      <w:r>
        <w:rPr>
          <w:rFonts w:ascii="Arial" w:hAnsi="Arial" w:cs="Arial"/>
          <w:sz w:val="20"/>
          <w:szCs w:val="20"/>
        </w:rPr>
        <w:br w:type="column"/>
      </w:r>
      <w:r w:rsidRPr="00C43C21">
        <w:rPr>
          <w:rFonts w:ascii="Arial" w:hAnsi="Arial" w:cs="Arial"/>
          <w:b/>
          <w:color w:val="2F5897" w:themeColor="text2"/>
          <w:sz w:val="20"/>
          <w:szCs w:val="20"/>
        </w:rPr>
        <w:lastRenderedPageBreak/>
        <w:t xml:space="preserve">Impact on </w:t>
      </w:r>
      <w:r w:rsidR="00086642">
        <w:rPr>
          <w:rFonts w:ascii="Arial" w:hAnsi="Arial" w:cs="Arial"/>
          <w:b/>
          <w:color w:val="2F5897" w:themeColor="text2"/>
          <w:sz w:val="20"/>
          <w:szCs w:val="20"/>
        </w:rPr>
        <w:t xml:space="preserve">the </w:t>
      </w:r>
      <w:r w:rsidRPr="00C43C21">
        <w:rPr>
          <w:rFonts w:ascii="Arial" w:hAnsi="Arial" w:cs="Arial"/>
          <w:b/>
          <w:color w:val="2F5897" w:themeColor="text2"/>
          <w:sz w:val="20"/>
          <w:szCs w:val="20"/>
        </w:rPr>
        <w:t>Subcontractor</w:t>
      </w:r>
    </w:p>
    <w:p w:rsidR="00B75710" w:rsidRDefault="00B75710" w:rsidP="00B75710">
      <w:pPr>
        <w:rPr>
          <w:rFonts w:ascii="Arial" w:hAnsi="Arial" w:cs="Arial"/>
          <w:b/>
          <w:sz w:val="20"/>
          <w:szCs w:val="20"/>
        </w:rPr>
      </w:pPr>
    </w:p>
    <w:p w:rsidR="00B75710" w:rsidRPr="00DE2931" w:rsidRDefault="00C43C21" w:rsidP="00C43C21">
      <w:pPr>
        <w:pStyle w:val="ListParagraph"/>
        <w:numPr>
          <w:ilvl w:val="0"/>
          <w:numId w:val="2"/>
        </w:numPr>
        <w:tabs>
          <w:tab w:val="left" w:pos="180"/>
        </w:tabs>
        <w:ind w:left="180" w:hanging="180"/>
        <w:rPr>
          <w:rFonts w:ascii="Arial" w:hAnsi="Arial" w:cs="Arial"/>
          <w:b/>
          <w:sz w:val="20"/>
          <w:szCs w:val="20"/>
        </w:rPr>
      </w:pPr>
      <w:r>
        <w:rPr>
          <w:rFonts w:ascii="Arial" w:hAnsi="Arial" w:cs="Arial"/>
          <w:sz w:val="20"/>
          <w:szCs w:val="20"/>
        </w:rPr>
        <w:t>The subcontractor bears the credit risk for the owner.</w:t>
      </w:r>
    </w:p>
    <w:p w:rsidR="00DE2931" w:rsidRPr="00C43C21" w:rsidRDefault="00DE2931" w:rsidP="00DE2931">
      <w:pPr>
        <w:pStyle w:val="ListParagraph"/>
        <w:tabs>
          <w:tab w:val="left" w:pos="180"/>
        </w:tabs>
        <w:ind w:left="180"/>
        <w:rPr>
          <w:rFonts w:ascii="Arial" w:hAnsi="Arial" w:cs="Arial"/>
          <w:b/>
          <w:sz w:val="20"/>
          <w:szCs w:val="20"/>
        </w:rPr>
      </w:pPr>
    </w:p>
    <w:p w:rsidR="00C43C21" w:rsidRPr="00DE2931" w:rsidRDefault="00C43C21" w:rsidP="00C43C21">
      <w:pPr>
        <w:pStyle w:val="ListParagraph"/>
        <w:numPr>
          <w:ilvl w:val="0"/>
          <w:numId w:val="2"/>
        </w:numPr>
        <w:tabs>
          <w:tab w:val="left" w:pos="180"/>
        </w:tabs>
        <w:ind w:left="180" w:hanging="180"/>
        <w:rPr>
          <w:rFonts w:ascii="Arial" w:hAnsi="Arial" w:cs="Arial"/>
          <w:b/>
          <w:sz w:val="20"/>
          <w:szCs w:val="20"/>
        </w:rPr>
      </w:pPr>
      <w:r>
        <w:rPr>
          <w:rFonts w:ascii="Arial" w:hAnsi="Arial" w:cs="Arial"/>
          <w:sz w:val="20"/>
          <w:szCs w:val="20"/>
        </w:rPr>
        <w:t>The subcontractor may not be able to take legal steps against the owner, because it has no contractual relationship with the owner.</w:t>
      </w:r>
    </w:p>
    <w:p w:rsidR="00DE2931" w:rsidRPr="00DE2931" w:rsidRDefault="00DE2931" w:rsidP="00DE2931">
      <w:pPr>
        <w:pStyle w:val="ListParagraph"/>
        <w:rPr>
          <w:rFonts w:ascii="Arial" w:hAnsi="Arial" w:cs="Arial"/>
          <w:b/>
          <w:sz w:val="20"/>
          <w:szCs w:val="20"/>
        </w:rPr>
      </w:pPr>
    </w:p>
    <w:p w:rsidR="00C43C21" w:rsidRPr="00DE2931" w:rsidRDefault="00C43C21" w:rsidP="00C43C21">
      <w:pPr>
        <w:pStyle w:val="ListParagraph"/>
        <w:numPr>
          <w:ilvl w:val="0"/>
          <w:numId w:val="2"/>
        </w:numPr>
        <w:tabs>
          <w:tab w:val="left" w:pos="180"/>
        </w:tabs>
        <w:ind w:left="180" w:hanging="180"/>
        <w:rPr>
          <w:rFonts w:ascii="Arial" w:hAnsi="Arial" w:cs="Arial"/>
          <w:b/>
          <w:sz w:val="20"/>
          <w:szCs w:val="20"/>
        </w:rPr>
      </w:pPr>
      <w:r>
        <w:rPr>
          <w:rFonts w:ascii="Arial" w:hAnsi="Arial" w:cs="Arial"/>
          <w:sz w:val="20"/>
          <w:szCs w:val="20"/>
        </w:rPr>
        <w:t>The subcontractor has no control over or responsibility for owner payment delays.</w:t>
      </w:r>
    </w:p>
    <w:p w:rsidR="00DE2931" w:rsidRPr="00C43C21" w:rsidRDefault="00DE2931" w:rsidP="00DE2931">
      <w:pPr>
        <w:pStyle w:val="ListParagraph"/>
        <w:tabs>
          <w:tab w:val="left" w:pos="180"/>
        </w:tabs>
        <w:ind w:left="180"/>
        <w:rPr>
          <w:rFonts w:ascii="Arial" w:hAnsi="Arial" w:cs="Arial"/>
          <w:b/>
          <w:sz w:val="20"/>
          <w:szCs w:val="20"/>
        </w:rPr>
      </w:pPr>
    </w:p>
    <w:p w:rsidR="00C43C21" w:rsidRPr="00DE2931" w:rsidRDefault="00C43C21" w:rsidP="00C43C21">
      <w:pPr>
        <w:pStyle w:val="ListParagraph"/>
        <w:numPr>
          <w:ilvl w:val="0"/>
          <w:numId w:val="2"/>
        </w:numPr>
        <w:tabs>
          <w:tab w:val="left" w:pos="180"/>
        </w:tabs>
        <w:ind w:left="180" w:hanging="180"/>
        <w:rPr>
          <w:rFonts w:ascii="Arial" w:hAnsi="Arial" w:cs="Arial"/>
          <w:b/>
          <w:sz w:val="20"/>
          <w:szCs w:val="20"/>
        </w:rPr>
      </w:pPr>
      <w:r>
        <w:rPr>
          <w:rFonts w:ascii="Arial" w:hAnsi="Arial" w:cs="Arial"/>
          <w:sz w:val="20"/>
          <w:szCs w:val="20"/>
        </w:rPr>
        <w:t xml:space="preserve">The subcontractor’s </w:t>
      </w:r>
      <w:proofErr w:type="gramStart"/>
      <w:r>
        <w:rPr>
          <w:rFonts w:ascii="Arial" w:hAnsi="Arial" w:cs="Arial"/>
          <w:sz w:val="20"/>
          <w:szCs w:val="20"/>
        </w:rPr>
        <w:t>right to sue for payment</w:t>
      </w:r>
      <w:r w:rsidR="00DD7F45">
        <w:rPr>
          <w:rFonts w:ascii="Arial" w:hAnsi="Arial" w:cs="Arial"/>
          <w:sz w:val="20"/>
          <w:szCs w:val="20"/>
        </w:rPr>
        <w:t xml:space="preserve">, </w:t>
      </w:r>
      <w:r>
        <w:rPr>
          <w:rFonts w:ascii="Arial" w:hAnsi="Arial" w:cs="Arial"/>
          <w:sz w:val="20"/>
          <w:szCs w:val="20"/>
        </w:rPr>
        <w:t>assert a claim against a general contractor’s bond or file a lien are</w:t>
      </w:r>
      <w:proofErr w:type="gramEnd"/>
      <w:r>
        <w:rPr>
          <w:rFonts w:ascii="Arial" w:hAnsi="Arial" w:cs="Arial"/>
          <w:sz w:val="20"/>
          <w:szCs w:val="20"/>
        </w:rPr>
        <w:t xml:space="preserve"> jeopardized, because payment theoretically is not due to the subcontractor until the owner pays the GC.</w:t>
      </w:r>
    </w:p>
    <w:p w:rsidR="00DE2931" w:rsidRPr="00DE2931" w:rsidRDefault="00DE2931" w:rsidP="00DE2931">
      <w:pPr>
        <w:pStyle w:val="ListParagraph"/>
        <w:rPr>
          <w:rFonts w:ascii="Arial" w:hAnsi="Arial" w:cs="Arial"/>
          <w:b/>
          <w:sz w:val="20"/>
          <w:szCs w:val="20"/>
        </w:rPr>
      </w:pPr>
    </w:p>
    <w:p w:rsidR="00C43C21" w:rsidRPr="00C43C21" w:rsidRDefault="00C43C21" w:rsidP="00C43C21">
      <w:pPr>
        <w:pStyle w:val="ListParagraph"/>
        <w:numPr>
          <w:ilvl w:val="0"/>
          <w:numId w:val="2"/>
        </w:numPr>
        <w:tabs>
          <w:tab w:val="left" w:pos="180"/>
        </w:tabs>
        <w:ind w:left="180" w:hanging="180"/>
        <w:rPr>
          <w:rFonts w:ascii="Arial" w:hAnsi="Arial" w:cs="Arial"/>
          <w:b/>
          <w:sz w:val="20"/>
          <w:szCs w:val="20"/>
        </w:rPr>
      </w:pPr>
      <w:r>
        <w:rPr>
          <w:rFonts w:ascii="Arial" w:hAnsi="Arial" w:cs="Arial"/>
          <w:sz w:val="20"/>
          <w:szCs w:val="20"/>
        </w:rPr>
        <w:t xml:space="preserve">There is not a specific time limit on how long a subcontractor can be denied its money, even assuming the owner is solvent. </w:t>
      </w:r>
    </w:p>
    <w:p w:rsidR="00C43C21" w:rsidRPr="000C64AC" w:rsidRDefault="00C43C21" w:rsidP="00C43C21">
      <w:pPr>
        <w:tabs>
          <w:tab w:val="left" w:pos="180"/>
        </w:tabs>
        <w:jc w:val="center"/>
        <w:rPr>
          <w:rFonts w:ascii="Arial" w:hAnsi="Arial" w:cs="Arial"/>
          <w:b/>
          <w:color w:val="2F5897" w:themeColor="text2"/>
          <w:sz w:val="20"/>
          <w:szCs w:val="20"/>
        </w:rPr>
      </w:pPr>
      <w:r>
        <w:rPr>
          <w:rFonts w:ascii="Arial" w:hAnsi="Arial" w:cs="Arial"/>
          <w:b/>
          <w:sz w:val="20"/>
          <w:szCs w:val="20"/>
        </w:rPr>
        <w:br w:type="column"/>
      </w:r>
      <w:r w:rsidRPr="000C64AC">
        <w:rPr>
          <w:rFonts w:ascii="Arial" w:hAnsi="Arial" w:cs="Arial"/>
          <w:b/>
          <w:color w:val="2F5897" w:themeColor="text2"/>
          <w:sz w:val="20"/>
          <w:szCs w:val="20"/>
        </w:rPr>
        <w:lastRenderedPageBreak/>
        <w:t>Negotiating Tips</w:t>
      </w:r>
    </w:p>
    <w:p w:rsidR="00C43C21" w:rsidRDefault="00C43C21" w:rsidP="00C43C21">
      <w:pPr>
        <w:tabs>
          <w:tab w:val="left" w:pos="180"/>
        </w:tabs>
        <w:rPr>
          <w:rFonts w:ascii="Arial" w:hAnsi="Arial" w:cs="Arial"/>
          <w:b/>
          <w:sz w:val="20"/>
          <w:szCs w:val="20"/>
        </w:rPr>
      </w:pPr>
    </w:p>
    <w:p w:rsidR="00C43C21" w:rsidRDefault="00C43C21" w:rsidP="00C43C21">
      <w:pPr>
        <w:tabs>
          <w:tab w:val="left" w:pos="180"/>
        </w:tabs>
        <w:rPr>
          <w:rFonts w:ascii="Arial" w:hAnsi="Arial" w:cs="Arial"/>
          <w:sz w:val="20"/>
          <w:szCs w:val="20"/>
        </w:rPr>
      </w:pPr>
      <w:r>
        <w:rPr>
          <w:rFonts w:ascii="Arial" w:hAnsi="Arial" w:cs="Arial"/>
          <w:b/>
          <w:sz w:val="20"/>
          <w:szCs w:val="20"/>
        </w:rPr>
        <w:t>When the GC Says:</w:t>
      </w:r>
      <w:r>
        <w:rPr>
          <w:rFonts w:ascii="Arial" w:hAnsi="Arial" w:cs="Arial"/>
          <w:sz w:val="20"/>
          <w:szCs w:val="20"/>
        </w:rPr>
        <w:t xml:space="preserve"> “The subcontractor should share in the risk of owner insolvency.”</w:t>
      </w:r>
    </w:p>
    <w:p w:rsidR="00C43C21" w:rsidRDefault="00C43C21" w:rsidP="00C43C21">
      <w:pPr>
        <w:tabs>
          <w:tab w:val="left" w:pos="180"/>
        </w:tabs>
        <w:rPr>
          <w:rFonts w:ascii="Arial" w:hAnsi="Arial" w:cs="Arial"/>
          <w:sz w:val="20"/>
          <w:szCs w:val="20"/>
        </w:rPr>
      </w:pPr>
      <w:r>
        <w:rPr>
          <w:rFonts w:ascii="Arial" w:hAnsi="Arial" w:cs="Arial"/>
          <w:b/>
          <w:sz w:val="20"/>
          <w:szCs w:val="20"/>
        </w:rPr>
        <w:t xml:space="preserve">The Sub Should Say: </w:t>
      </w:r>
      <w:r>
        <w:rPr>
          <w:rFonts w:ascii="Arial" w:hAnsi="Arial" w:cs="Arial"/>
          <w:sz w:val="20"/>
          <w:szCs w:val="20"/>
        </w:rPr>
        <w:t xml:space="preserve">“My credit risk is with you. </w:t>
      </w:r>
      <w:r w:rsidR="00DE2931">
        <w:rPr>
          <w:rFonts w:ascii="Arial" w:hAnsi="Arial" w:cs="Arial"/>
          <w:sz w:val="20"/>
          <w:szCs w:val="20"/>
        </w:rPr>
        <w:t>There’s no justification for me to also extend credit to the owner. I don’t have a contractual relationship with the owner. You did the credit check on the owner and your decision to go forward is strictly your responsibility.”</w:t>
      </w:r>
    </w:p>
    <w:p w:rsidR="000C64AC" w:rsidRDefault="000C64AC" w:rsidP="00C43C21">
      <w:pPr>
        <w:tabs>
          <w:tab w:val="left" w:pos="180"/>
        </w:tabs>
        <w:rPr>
          <w:rFonts w:ascii="Arial" w:hAnsi="Arial" w:cs="Arial"/>
          <w:sz w:val="20"/>
          <w:szCs w:val="20"/>
        </w:rPr>
      </w:pPr>
    </w:p>
    <w:p w:rsidR="000C64AC" w:rsidRDefault="000C64AC" w:rsidP="00C43C21">
      <w:pPr>
        <w:tabs>
          <w:tab w:val="left" w:pos="180"/>
        </w:tabs>
        <w:rPr>
          <w:rFonts w:ascii="Arial" w:hAnsi="Arial" w:cs="Arial"/>
          <w:sz w:val="20"/>
          <w:szCs w:val="20"/>
        </w:rPr>
      </w:pPr>
      <w:r>
        <w:rPr>
          <w:rFonts w:ascii="Arial" w:hAnsi="Arial" w:cs="Arial"/>
          <w:b/>
          <w:sz w:val="20"/>
          <w:szCs w:val="20"/>
        </w:rPr>
        <w:t>When the GC Says:</w:t>
      </w:r>
      <w:r>
        <w:rPr>
          <w:rFonts w:ascii="Arial" w:hAnsi="Arial" w:cs="Arial"/>
          <w:sz w:val="20"/>
          <w:szCs w:val="20"/>
        </w:rPr>
        <w:t xml:space="preserve"> “A subcontractor’s lien rights and the job’s payment bond will offer payment protection.”</w:t>
      </w:r>
    </w:p>
    <w:p w:rsidR="000C64AC" w:rsidRDefault="000C64AC" w:rsidP="00C43C21">
      <w:pPr>
        <w:tabs>
          <w:tab w:val="left" w:pos="180"/>
        </w:tabs>
        <w:rPr>
          <w:rFonts w:ascii="Arial" w:hAnsi="Arial" w:cs="Arial"/>
          <w:sz w:val="20"/>
          <w:szCs w:val="20"/>
        </w:rPr>
      </w:pPr>
      <w:r>
        <w:rPr>
          <w:rFonts w:ascii="Arial" w:hAnsi="Arial" w:cs="Arial"/>
          <w:b/>
          <w:sz w:val="20"/>
          <w:szCs w:val="20"/>
        </w:rPr>
        <w:t>The Sub Should Say:</w:t>
      </w:r>
      <w:r>
        <w:rPr>
          <w:rFonts w:ascii="Arial" w:hAnsi="Arial" w:cs="Arial"/>
          <w:sz w:val="20"/>
          <w:szCs w:val="20"/>
        </w:rPr>
        <w:t xml:space="preserve"> “</w:t>
      </w:r>
      <w:r w:rsidR="003D342D">
        <w:rPr>
          <w:rFonts w:ascii="Arial" w:hAnsi="Arial" w:cs="Arial"/>
          <w:sz w:val="20"/>
          <w:szCs w:val="20"/>
        </w:rPr>
        <w:t>Bonding companies routinely deny claims on pay-if-paid terms, reasoning that no money is owed when an owner fails to pay. Liens also are often challenged using the same logic.”</w:t>
      </w:r>
    </w:p>
    <w:p w:rsidR="003D342D" w:rsidRDefault="003D342D" w:rsidP="00C43C21">
      <w:pPr>
        <w:tabs>
          <w:tab w:val="left" w:pos="180"/>
        </w:tabs>
        <w:rPr>
          <w:rFonts w:ascii="Arial" w:hAnsi="Arial" w:cs="Arial"/>
          <w:sz w:val="20"/>
          <w:szCs w:val="20"/>
        </w:rPr>
      </w:pPr>
    </w:p>
    <w:p w:rsidR="003D342D" w:rsidRDefault="003D342D" w:rsidP="00C43C21">
      <w:pPr>
        <w:tabs>
          <w:tab w:val="left" w:pos="180"/>
        </w:tabs>
        <w:rPr>
          <w:rFonts w:ascii="Arial" w:hAnsi="Arial" w:cs="Arial"/>
          <w:sz w:val="20"/>
          <w:szCs w:val="20"/>
        </w:rPr>
      </w:pPr>
      <w:r>
        <w:rPr>
          <w:rFonts w:ascii="Arial" w:hAnsi="Arial" w:cs="Arial"/>
          <w:b/>
          <w:sz w:val="20"/>
          <w:szCs w:val="20"/>
        </w:rPr>
        <w:t xml:space="preserve">When the GC Says: </w:t>
      </w:r>
      <w:r>
        <w:rPr>
          <w:rFonts w:ascii="Arial" w:hAnsi="Arial" w:cs="Arial"/>
          <w:sz w:val="20"/>
          <w:szCs w:val="20"/>
        </w:rPr>
        <w:t>“You should always be willing to wait for your money until I’m paid.”</w:t>
      </w:r>
    </w:p>
    <w:p w:rsidR="003D342D" w:rsidRDefault="003D342D" w:rsidP="00C43C21">
      <w:pPr>
        <w:tabs>
          <w:tab w:val="left" w:pos="180"/>
        </w:tabs>
        <w:rPr>
          <w:rFonts w:ascii="Arial" w:hAnsi="Arial" w:cs="Arial"/>
          <w:sz w:val="20"/>
          <w:szCs w:val="20"/>
        </w:rPr>
      </w:pPr>
      <w:r>
        <w:rPr>
          <w:rFonts w:ascii="Arial" w:hAnsi="Arial" w:cs="Arial"/>
          <w:b/>
          <w:sz w:val="20"/>
          <w:szCs w:val="20"/>
        </w:rPr>
        <w:t xml:space="preserve">The Sub Should Say: </w:t>
      </w:r>
      <w:r>
        <w:rPr>
          <w:rFonts w:ascii="Arial" w:hAnsi="Arial" w:cs="Arial"/>
          <w:sz w:val="20"/>
          <w:szCs w:val="20"/>
        </w:rPr>
        <w:t>“I can’t wait until you pay me to issue checks to my jobsite workers, office staff, utility companies and suppliers. If I’m supposed to finance you, I’ve become a banker, not a builder.</w:t>
      </w:r>
    </w:p>
    <w:p w:rsidR="003D342D" w:rsidRDefault="003D342D" w:rsidP="00C43C21">
      <w:pPr>
        <w:tabs>
          <w:tab w:val="left" w:pos="180"/>
        </w:tabs>
        <w:rPr>
          <w:rFonts w:ascii="Arial" w:hAnsi="Arial" w:cs="Arial"/>
          <w:sz w:val="20"/>
          <w:szCs w:val="20"/>
        </w:rPr>
      </w:pPr>
    </w:p>
    <w:p w:rsidR="000C64AC" w:rsidRDefault="003D342D" w:rsidP="00C43C21">
      <w:pPr>
        <w:tabs>
          <w:tab w:val="left" w:pos="180"/>
        </w:tabs>
        <w:rPr>
          <w:rFonts w:ascii="Arial" w:hAnsi="Arial" w:cs="Arial"/>
          <w:b/>
          <w:sz w:val="20"/>
          <w:szCs w:val="20"/>
        </w:rPr>
      </w:pPr>
      <w:r>
        <w:rPr>
          <w:rFonts w:ascii="Arial" w:hAnsi="Arial" w:cs="Arial"/>
          <w:b/>
          <w:sz w:val="20"/>
          <w:szCs w:val="20"/>
        </w:rPr>
        <w:t xml:space="preserve">When the GC Says: </w:t>
      </w:r>
      <w:r>
        <w:rPr>
          <w:rFonts w:ascii="Arial" w:hAnsi="Arial" w:cs="Arial"/>
          <w:sz w:val="20"/>
          <w:szCs w:val="20"/>
        </w:rPr>
        <w:t xml:space="preserve">“Pay-if-paid is </w:t>
      </w:r>
      <w:r w:rsidR="00405F92">
        <w:rPr>
          <w:rFonts w:ascii="Arial" w:hAnsi="Arial" w:cs="Arial"/>
          <w:sz w:val="20"/>
          <w:szCs w:val="20"/>
        </w:rPr>
        <w:t xml:space="preserve">a </w:t>
      </w:r>
      <w:r>
        <w:rPr>
          <w:rFonts w:ascii="Arial" w:hAnsi="Arial" w:cs="Arial"/>
          <w:sz w:val="20"/>
          <w:szCs w:val="20"/>
        </w:rPr>
        <w:t>valid concept.”</w:t>
      </w:r>
    </w:p>
    <w:p w:rsidR="003D342D" w:rsidRDefault="003D342D" w:rsidP="00C43C21">
      <w:pPr>
        <w:tabs>
          <w:tab w:val="left" w:pos="180"/>
        </w:tabs>
        <w:rPr>
          <w:rFonts w:ascii="Arial" w:hAnsi="Arial" w:cs="Arial"/>
          <w:sz w:val="20"/>
          <w:szCs w:val="20"/>
        </w:rPr>
      </w:pPr>
      <w:r>
        <w:rPr>
          <w:rFonts w:ascii="Arial" w:hAnsi="Arial" w:cs="Arial"/>
          <w:b/>
          <w:sz w:val="20"/>
          <w:szCs w:val="20"/>
        </w:rPr>
        <w:t xml:space="preserve">The Sub Should Say: </w:t>
      </w:r>
      <w:r>
        <w:rPr>
          <w:rFonts w:ascii="Arial" w:hAnsi="Arial" w:cs="Arial"/>
          <w:sz w:val="20"/>
          <w:szCs w:val="20"/>
        </w:rPr>
        <w:t xml:space="preserve">“Contingent payment terms are void in some states as being against the public interest and fair contracting practice. Even widely-endorsed model documents, such as </w:t>
      </w:r>
      <w:proofErr w:type="spellStart"/>
      <w:r>
        <w:rPr>
          <w:rFonts w:ascii="Arial" w:hAnsi="Arial" w:cs="Arial"/>
          <w:sz w:val="20"/>
          <w:szCs w:val="20"/>
        </w:rPr>
        <w:t>ConsensusDocs</w:t>
      </w:r>
      <w:proofErr w:type="spellEnd"/>
      <w:r>
        <w:rPr>
          <w:rFonts w:ascii="Arial" w:hAnsi="Arial" w:cs="Arial"/>
          <w:sz w:val="20"/>
          <w:szCs w:val="20"/>
        </w:rPr>
        <w:t xml:space="preserve"> and AIA, do not include </w:t>
      </w:r>
      <w:r w:rsidR="00C143FB">
        <w:rPr>
          <w:rFonts w:ascii="Arial" w:hAnsi="Arial" w:cs="Arial"/>
          <w:sz w:val="20"/>
          <w:szCs w:val="20"/>
        </w:rPr>
        <w:t xml:space="preserve">a </w:t>
      </w:r>
      <w:r>
        <w:rPr>
          <w:rFonts w:ascii="Arial" w:hAnsi="Arial" w:cs="Arial"/>
          <w:sz w:val="20"/>
          <w:szCs w:val="20"/>
        </w:rPr>
        <w:t xml:space="preserve">pay-if-paid clause. I would have to be a pretty lousy </w:t>
      </w:r>
      <w:proofErr w:type="gramStart"/>
      <w:r>
        <w:rPr>
          <w:rFonts w:ascii="Arial" w:hAnsi="Arial" w:cs="Arial"/>
          <w:sz w:val="20"/>
          <w:szCs w:val="20"/>
        </w:rPr>
        <w:t>business</w:t>
      </w:r>
      <w:proofErr w:type="gramEnd"/>
      <w:r>
        <w:rPr>
          <w:rFonts w:ascii="Arial" w:hAnsi="Arial" w:cs="Arial"/>
          <w:sz w:val="20"/>
          <w:szCs w:val="20"/>
        </w:rPr>
        <w:t xml:space="preserve"> person to agree to such a questionable concept as pay-if-paid.”</w:t>
      </w:r>
    </w:p>
    <w:p w:rsidR="00DA0394" w:rsidRDefault="00DA0394" w:rsidP="00C43C21">
      <w:pPr>
        <w:tabs>
          <w:tab w:val="left" w:pos="180"/>
        </w:tabs>
        <w:rPr>
          <w:rFonts w:ascii="Arial" w:hAnsi="Arial" w:cs="Arial"/>
          <w:sz w:val="20"/>
          <w:szCs w:val="20"/>
        </w:rPr>
        <w:sectPr w:rsidR="00DA0394" w:rsidSect="00DE2931">
          <w:type w:val="continuous"/>
          <w:pgSz w:w="15840" w:h="12240" w:orient="landscape"/>
          <w:pgMar w:top="720" w:right="432" w:bottom="720" w:left="432" w:header="720" w:footer="720" w:gutter="0"/>
          <w:cols w:num="3" w:sep="1" w:space="576" w:equalWidth="0">
            <w:col w:w="3600" w:space="576"/>
            <w:col w:w="3652" w:space="576"/>
            <w:col w:w="6572"/>
          </w:cols>
          <w:docGrid w:linePitch="360"/>
        </w:sectPr>
      </w:pPr>
    </w:p>
    <w:p w:rsidR="003D342D" w:rsidRDefault="003D342D" w:rsidP="00C43C21">
      <w:pPr>
        <w:tabs>
          <w:tab w:val="left" w:pos="180"/>
        </w:tabs>
        <w:rPr>
          <w:rFonts w:ascii="Arial" w:hAnsi="Arial" w:cs="Arial"/>
          <w:sz w:val="20"/>
          <w:szCs w:val="20"/>
        </w:rPr>
      </w:pPr>
    </w:p>
    <w:p w:rsidR="00DA0394" w:rsidRPr="003C2F55" w:rsidRDefault="00DA0394" w:rsidP="00C43C21">
      <w:pPr>
        <w:tabs>
          <w:tab w:val="left" w:pos="180"/>
        </w:tabs>
        <w:rPr>
          <w:rFonts w:ascii="Arial" w:hAnsi="Arial" w:cs="Arial"/>
          <w:color w:val="2F5897" w:themeColor="text2"/>
          <w:sz w:val="20"/>
          <w:szCs w:val="20"/>
        </w:rPr>
      </w:pPr>
      <w:r w:rsidRPr="003C2F55">
        <w:rPr>
          <w:rFonts w:ascii="Arial" w:hAnsi="Arial" w:cs="Arial"/>
          <w:b/>
          <w:color w:val="2F5897" w:themeColor="text2"/>
          <w:sz w:val="20"/>
          <w:szCs w:val="20"/>
        </w:rPr>
        <w:t>Additional Resources:</w:t>
      </w:r>
    </w:p>
    <w:p w:rsidR="002E6519" w:rsidRDefault="002E6519" w:rsidP="00C43C21">
      <w:pPr>
        <w:tabs>
          <w:tab w:val="left" w:pos="180"/>
        </w:tabs>
        <w:rPr>
          <w:rFonts w:ascii="Arial" w:hAnsi="Arial" w:cs="Arial"/>
          <w:sz w:val="20"/>
          <w:szCs w:val="20"/>
        </w:rPr>
      </w:pPr>
      <w:proofErr w:type="gramStart"/>
      <w:r>
        <w:rPr>
          <w:rFonts w:ascii="Arial" w:hAnsi="Arial" w:cs="Arial"/>
          <w:i/>
          <w:sz w:val="20"/>
          <w:szCs w:val="20"/>
        </w:rPr>
        <w:t>ASA Subcontract Addendum (2011)</w:t>
      </w:r>
      <w:r w:rsidR="00C0744A">
        <w:rPr>
          <w:rFonts w:ascii="Arial" w:hAnsi="Arial" w:cs="Arial"/>
          <w:i/>
          <w:sz w:val="20"/>
          <w:szCs w:val="20"/>
        </w:rPr>
        <w:t xml:space="preserve">, </w:t>
      </w:r>
      <w:r w:rsidR="00C0744A">
        <w:rPr>
          <w:rFonts w:ascii="Arial" w:hAnsi="Arial" w:cs="Arial"/>
          <w:sz w:val="20"/>
          <w:szCs w:val="20"/>
        </w:rPr>
        <w:t>¶ 5</w:t>
      </w:r>
      <w:r>
        <w:rPr>
          <w:rFonts w:ascii="Arial" w:hAnsi="Arial" w:cs="Arial"/>
          <w:i/>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Available to ASA members at </w:t>
      </w:r>
      <w:hyperlink r:id="rId16" w:history="1">
        <w:r w:rsidRPr="00F568E5">
          <w:rPr>
            <w:rStyle w:val="Hyperlink"/>
            <w:rFonts w:ascii="Arial" w:hAnsi="Arial" w:cs="Arial"/>
            <w:sz w:val="20"/>
            <w:szCs w:val="20"/>
          </w:rPr>
          <w:t>www.ASAonline.com</w:t>
        </w:r>
      </w:hyperlink>
      <w:r>
        <w:rPr>
          <w:rFonts w:ascii="Arial" w:hAnsi="Arial" w:cs="Arial"/>
          <w:sz w:val="20"/>
          <w:szCs w:val="20"/>
        </w:rPr>
        <w:t>.</w:t>
      </w:r>
      <w:proofErr w:type="gramEnd"/>
    </w:p>
    <w:p w:rsidR="00DA0394" w:rsidRDefault="00C143FB" w:rsidP="00C43C21">
      <w:pPr>
        <w:tabs>
          <w:tab w:val="left" w:pos="180"/>
        </w:tabs>
        <w:rPr>
          <w:rFonts w:ascii="Arial" w:hAnsi="Arial" w:cs="Arial"/>
          <w:sz w:val="20"/>
          <w:szCs w:val="20"/>
        </w:rPr>
      </w:pPr>
      <w:proofErr w:type="gramStart"/>
      <w:r>
        <w:rPr>
          <w:rFonts w:ascii="Arial" w:hAnsi="Arial" w:cs="Arial"/>
          <w:i/>
          <w:sz w:val="20"/>
          <w:szCs w:val="20"/>
        </w:rPr>
        <w:t>Contingent Payment Clauses in the 50 States (2012)</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Available to ASA members at </w:t>
      </w:r>
      <w:hyperlink r:id="rId17" w:history="1">
        <w:r w:rsidRPr="00F568E5">
          <w:rPr>
            <w:rStyle w:val="Hyperlink"/>
            <w:rFonts w:ascii="Arial" w:hAnsi="Arial" w:cs="Arial"/>
            <w:sz w:val="20"/>
            <w:szCs w:val="20"/>
          </w:rPr>
          <w:t>www.ASAonline.com</w:t>
        </w:r>
      </w:hyperlink>
      <w:r>
        <w:rPr>
          <w:rFonts w:ascii="Arial" w:hAnsi="Arial" w:cs="Arial"/>
          <w:sz w:val="20"/>
          <w:szCs w:val="20"/>
        </w:rPr>
        <w:t>.</w:t>
      </w:r>
      <w:proofErr w:type="gramEnd"/>
    </w:p>
    <w:p w:rsidR="00C0744A" w:rsidRDefault="00C0744A" w:rsidP="00C43C21">
      <w:pPr>
        <w:tabs>
          <w:tab w:val="left" w:pos="180"/>
        </w:tabs>
        <w:rPr>
          <w:rFonts w:ascii="Arial" w:hAnsi="Arial" w:cs="Arial"/>
          <w:sz w:val="20"/>
          <w:szCs w:val="20"/>
        </w:rPr>
      </w:pPr>
      <w:proofErr w:type="gramStart"/>
      <w:r>
        <w:rPr>
          <w:rFonts w:ascii="Arial" w:hAnsi="Arial" w:cs="Arial"/>
          <w:i/>
          <w:sz w:val="20"/>
          <w:szCs w:val="20"/>
        </w:rPr>
        <w:t>Protecting Against Payment Default (2009).</w:t>
      </w:r>
      <w:proofErr w:type="gramEnd"/>
      <w:r>
        <w:rPr>
          <w:rFonts w:ascii="Arial" w:hAnsi="Arial" w:cs="Arial"/>
          <w:i/>
          <w:sz w:val="20"/>
          <w:szCs w:val="20"/>
        </w:rPr>
        <w:t xml:space="preserve"> </w:t>
      </w:r>
      <w:proofErr w:type="gramStart"/>
      <w:r>
        <w:rPr>
          <w:rFonts w:ascii="Arial" w:hAnsi="Arial" w:cs="Arial"/>
          <w:sz w:val="20"/>
          <w:szCs w:val="20"/>
        </w:rPr>
        <w:t xml:space="preserve">Available to ASA members at </w:t>
      </w:r>
      <w:hyperlink r:id="rId18" w:history="1">
        <w:r w:rsidRPr="00AA4205">
          <w:rPr>
            <w:rStyle w:val="Hyperlink"/>
            <w:rFonts w:ascii="Arial" w:hAnsi="Arial" w:cs="Arial"/>
            <w:sz w:val="20"/>
            <w:szCs w:val="20"/>
          </w:rPr>
          <w:t>www.ASAonline.com</w:t>
        </w:r>
      </w:hyperlink>
      <w:r>
        <w:rPr>
          <w:rFonts w:ascii="Arial" w:hAnsi="Arial" w:cs="Arial"/>
          <w:sz w:val="20"/>
          <w:szCs w:val="20"/>
        </w:rPr>
        <w:t>.</w:t>
      </w:r>
      <w:proofErr w:type="gramEnd"/>
    </w:p>
    <w:p w:rsidR="00C0744A" w:rsidRDefault="00C0744A" w:rsidP="00C43C21">
      <w:pPr>
        <w:tabs>
          <w:tab w:val="left" w:pos="180"/>
        </w:tabs>
        <w:rPr>
          <w:rFonts w:ascii="Arial" w:hAnsi="Arial" w:cs="Arial"/>
          <w:sz w:val="20"/>
          <w:szCs w:val="20"/>
        </w:rPr>
      </w:pPr>
      <w:proofErr w:type="spellStart"/>
      <w:r w:rsidRPr="00FE090B">
        <w:rPr>
          <w:rFonts w:ascii="Arial" w:hAnsi="Arial" w:cs="Arial"/>
          <w:sz w:val="20"/>
          <w:szCs w:val="20"/>
        </w:rPr>
        <w:t>ConsensusDocs</w:t>
      </w:r>
      <w:proofErr w:type="spellEnd"/>
      <w:r>
        <w:rPr>
          <w:rFonts w:ascii="Arial" w:hAnsi="Arial" w:cs="Arial"/>
          <w:i/>
          <w:sz w:val="20"/>
          <w:szCs w:val="20"/>
        </w:rPr>
        <w:t xml:space="preserve"> Form 750, Standard Agreement Between Construct</w:t>
      </w:r>
      <w:r w:rsidR="006173D3">
        <w:rPr>
          <w:rFonts w:ascii="Arial" w:hAnsi="Arial" w:cs="Arial"/>
          <w:i/>
          <w:sz w:val="20"/>
          <w:szCs w:val="20"/>
        </w:rPr>
        <w:t>or</w:t>
      </w:r>
      <w:r>
        <w:rPr>
          <w:rFonts w:ascii="Arial" w:hAnsi="Arial" w:cs="Arial"/>
          <w:i/>
          <w:sz w:val="20"/>
          <w:szCs w:val="20"/>
        </w:rPr>
        <w:t xml:space="preserve"> and Subcontractor (2012)</w:t>
      </w:r>
      <w:proofErr w:type="gramStart"/>
      <w:r>
        <w:rPr>
          <w:rFonts w:ascii="Arial" w:hAnsi="Arial" w:cs="Arial"/>
          <w:i/>
          <w:sz w:val="20"/>
          <w:szCs w:val="20"/>
        </w:rPr>
        <w:t>,¶</w:t>
      </w:r>
      <w:proofErr w:type="gramEnd"/>
      <w:r>
        <w:rPr>
          <w:rFonts w:ascii="Arial" w:hAnsi="Arial" w:cs="Arial"/>
          <w:i/>
          <w:sz w:val="20"/>
          <w:szCs w:val="20"/>
        </w:rPr>
        <w:t xml:space="preserve"> 8.2.5.</w:t>
      </w:r>
      <w:r>
        <w:rPr>
          <w:rFonts w:ascii="Arial" w:hAnsi="Arial" w:cs="Arial"/>
          <w:sz w:val="20"/>
          <w:szCs w:val="20"/>
        </w:rPr>
        <w:t xml:space="preserve"> Available at </w:t>
      </w:r>
      <w:hyperlink r:id="rId19" w:history="1">
        <w:r w:rsidRPr="00AA4205">
          <w:rPr>
            <w:rStyle w:val="Hyperlink"/>
            <w:rFonts w:ascii="Arial" w:hAnsi="Arial" w:cs="Arial"/>
            <w:sz w:val="20"/>
            <w:szCs w:val="20"/>
          </w:rPr>
          <w:t>www.ConsensusDocs.org</w:t>
        </w:r>
      </w:hyperlink>
      <w:r>
        <w:rPr>
          <w:rFonts w:ascii="Arial" w:hAnsi="Arial" w:cs="Arial"/>
          <w:sz w:val="20"/>
          <w:szCs w:val="20"/>
        </w:rPr>
        <w:t>; ASA members can get a 20 percent discount by entering ASA100.</w:t>
      </w:r>
    </w:p>
    <w:p w:rsidR="00C0744A" w:rsidRPr="00FE090B" w:rsidRDefault="00FE090B" w:rsidP="00C43C21">
      <w:pPr>
        <w:tabs>
          <w:tab w:val="left" w:pos="180"/>
        </w:tabs>
      </w:pPr>
      <w:r>
        <w:rPr>
          <w:rFonts w:ascii="Arial" w:hAnsi="Arial" w:cs="Arial"/>
          <w:sz w:val="20"/>
          <w:szCs w:val="20"/>
        </w:rPr>
        <w:t xml:space="preserve">American Institute of Architects </w:t>
      </w:r>
      <w:r>
        <w:rPr>
          <w:rFonts w:ascii="Arial" w:hAnsi="Arial" w:cs="Arial"/>
          <w:i/>
          <w:sz w:val="20"/>
          <w:szCs w:val="20"/>
        </w:rPr>
        <w:t xml:space="preserve">Form A401, Standard Form of Agreement </w:t>
      </w:r>
      <w:proofErr w:type="gramStart"/>
      <w:r>
        <w:rPr>
          <w:rFonts w:ascii="Arial" w:hAnsi="Arial" w:cs="Arial"/>
          <w:i/>
          <w:sz w:val="20"/>
          <w:szCs w:val="20"/>
        </w:rPr>
        <w:t>Between</w:t>
      </w:r>
      <w:proofErr w:type="gramEnd"/>
      <w:r>
        <w:rPr>
          <w:rFonts w:ascii="Arial" w:hAnsi="Arial" w:cs="Arial"/>
          <w:i/>
          <w:sz w:val="20"/>
          <w:szCs w:val="20"/>
        </w:rPr>
        <w:t xml:space="preserve"> Contractor and Subcontractor (2007),</w:t>
      </w:r>
      <w:r>
        <w:rPr>
          <w:rFonts w:ascii="Arial" w:hAnsi="Arial" w:cs="Arial"/>
          <w:sz w:val="20"/>
          <w:szCs w:val="20"/>
        </w:rPr>
        <w:t xml:space="preserve"> ¶11.3.</w:t>
      </w:r>
      <w:r w:rsidR="000C0DEF">
        <w:rPr>
          <w:rFonts w:ascii="Arial" w:hAnsi="Arial" w:cs="Arial"/>
          <w:sz w:val="20"/>
          <w:szCs w:val="20"/>
        </w:rPr>
        <w:t xml:space="preserve"> </w:t>
      </w:r>
      <w:proofErr w:type="gramStart"/>
      <w:r w:rsidR="000C0DEF">
        <w:rPr>
          <w:rFonts w:ascii="Arial" w:hAnsi="Arial" w:cs="Arial"/>
          <w:sz w:val="20"/>
          <w:szCs w:val="20"/>
        </w:rPr>
        <w:t xml:space="preserve">Available </w:t>
      </w:r>
      <w:r w:rsidR="006F756E">
        <w:rPr>
          <w:rFonts w:ascii="Arial" w:hAnsi="Arial" w:cs="Arial"/>
          <w:sz w:val="20"/>
          <w:szCs w:val="20"/>
        </w:rPr>
        <w:t xml:space="preserve">at </w:t>
      </w:r>
      <w:hyperlink r:id="rId20" w:history="1">
        <w:r w:rsidR="006F756E" w:rsidRPr="00AA4205">
          <w:rPr>
            <w:rStyle w:val="Hyperlink"/>
            <w:rFonts w:ascii="Arial" w:hAnsi="Arial" w:cs="Arial"/>
            <w:sz w:val="20"/>
            <w:szCs w:val="20"/>
          </w:rPr>
          <w:t>www.aia.org/contractdocs/</w:t>
        </w:r>
      </w:hyperlink>
      <w:r w:rsidR="006F756E">
        <w:rPr>
          <w:rFonts w:ascii="Arial" w:hAnsi="Arial" w:cs="Arial"/>
          <w:sz w:val="20"/>
          <w:szCs w:val="20"/>
        </w:rPr>
        <w:t>.</w:t>
      </w:r>
      <w:proofErr w:type="gramEnd"/>
      <w:r>
        <w:rPr>
          <w:rFonts w:ascii="Arial" w:hAnsi="Arial" w:cs="Arial"/>
          <w:sz w:val="20"/>
          <w:szCs w:val="20"/>
        </w:rPr>
        <w:t xml:space="preserve"> </w:t>
      </w:r>
    </w:p>
    <w:p w:rsidR="00C143FB" w:rsidRPr="00C143FB" w:rsidRDefault="00C143FB" w:rsidP="00C43C21">
      <w:pPr>
        <w:tabs>
          <w:tab w:val="left" w:pos="180"/>
        </w:tabs>
        <w:rPr>
          <w:rFonts w:ascii="Arial" w:hAnsi="Arial" w:cs="Arial"/>
          <w:sz w:val="20"/>
          <w:szCs w:val="20"/>
        </w:rPr>
      </w:pPr>
    </w:p>
    <w:p w:rsidR="000C64AC" w:rsidRDefault="000C64AC" w:rsidP="00C43C21">
      <w:pPr>
        <w:tabs>
          <w:tab w:val="left" w:pos="180"/>
        </w:tabs>
        <w:rPr>
          <w:rFonts w:ascii="Arial" w:hAnsi="Arial" w:cs="Arial"/>
          <w:sz w:val="20"/>
          <w:szCs w:val="20"/>
        </w:rPr>
      </w:pPr>
    </w:p>
    <w:p w:rsidR="00DE2931" w:rsidRDefault="00DE2931" w:rsidP="00C43C21">
      <w:pPr>
        <w:tabs>
          <w:tab w:val="left" w:pos="180"/>
        </w:tabs>
        <w:rPr>
          <w:rFonts w:ascii="Arial" w:hAnsi="Arial" w:cs="Arial"/>
          <w:sz w:val="20"/>
          <w:szCs w:val="20"/>
        </w:rPr>
      </w:pPr>
    </w:p>
    <w:p w:rsidR="00DE2931" w:rsidRPr="00C43C21" w:rsidRDefault="00DE2931" w:rsidP="00C43C21">
      <w:pPr>
        <w:tabs>
          <w:tab w:val="left" w:pos="180"/>
        </w:tabs>
        <w:rPr>
          <w:rFonts w:ascii="Arial" w:hAnsi="Arial" w:cs="Arial"/>
          <w:sz w:val="20"/>
          <w:szCs w:val="20"/>
        </w:rPr>
      </w:pPr>
    </w:p>
    <w:sectPr w:rsidR="00DE2931" w:rsidRPr="00C43C21" w:rsidSect="00DA0394">
      <w:type w:val="continuous"/>
      <w:pgSz w:w="15840" w:h="12240" w:orient="landscape"/>
      <w:pgMar w:top="720" w:right="432" w:bottom="720" w:left="432" w:header="720" w:footer="720" w:gutter="0"/>
      <w:cols w:sep="1"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98" w:rsidRDefault="00083898" w:rsidP="006A632D">
      <w:r>
        <w:separator/>
      </w:r>
    </w:p>
  </w:endnote>
  <w:endnote w:type="continuationSeparator" w:id="0">
    <w:p w:rsidR="00083898" w:rsidRDefault="00083898" w:rsidP="006A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0A" w:rsidRPr="00B56670" w:rsidRDefault="00F4340A">
    <w:pPr>
      <w:pStyle w:val="Footer"/>
      <w:rPr>
        <w:rFonts w:ascii="Arial" w:hAnsi="Arial" w:cs="Arial"/>
        <w:color w:val="2F5897" w:themeColor="text2"/>
        <w:sz w:val="16"/>
        <w:szCs w:val="16"/>
      </w:rPr>
    </w:pPr>
    <w:r w:rsidRPr="00BA2681">
      <w:rPr>
        <w:rFonts w:ascii="Arial" w:hAnsi="Arial" w:cs="Arial"/>
        <w:color w:val="2F5897" w:themeColor="text2"/>
        <w:sz w:val="16"/>
        <w:szCs w:val="16"/>
      </w:rPr>
      <w:t xml:space="preserve">Copyright </w:t>
    </w:r>
    <w:r w:rsidR="00C143FB" w:rsidRPr="00BA2681">
      <w:rPr>
        <w:rFonts w:ascii="Arial" w:hAnsi="Arial" w:cs="Arial"/>
        <w:color w:val="2F5897" w:themeColor="text2"/>
        <w:sz w:val="16"/>
        <w:szCs w:val="16"/>
      </w:rPr>
      <w:t xml:space="preserve">© </w:t>
    </w:r>
    <w:r w:rsidRPr="00BA2681">
      <w:rPr>
        <w:rFonts w:ascii="Arial" w:hAnsi="Arial" w:cs="Arial"/>
        <w:color w:val="2F5897" w:themeColor="text2"/>
        <w:sz w:val="16"/>
        <w:szCs w:val="16"/>
      </w:rPr>
      <w:t xml:space="preserve">2013 American Subcontractors Association, Inc., 1004 Duke Street, </w:t>
    </w:r>
    <w:r w:rsidRPr="00B56670">
      <w:rPr>
        <w:rFonts w:ascii="Arial" w:hAnsi="Arial" w:cs="Arial"/>
        <w:color w:val="2F5897" w:themeColor="text2"/>
        <w:sz w:val="16"/>
        <w:szCs w:val="16"/>
      </w:rPr>
      <w:t>Al</w:t>
    </w:r>
    <w:r w:rsidR="00B56670" w:rsidRPr="00B56670">
      <w:rPr>
        <w:rFonts w:ascii="Arial" w:hAnsi="Arial" w:cs="Arial"/>
        <w:color w:val="2F5897" w:themeColor="text2"/>
        <w:sz w:val="16"/>
        <w:szCs w:val="16"/>
      </w:rPr>
      <w:t xml:space="preserve">exandria VA 22314, 703-684-3450, </w:t>
    </w:r>
    <w:hyperlink r:id="rId1" w:history="1">
      <w:r w:rsidR="00B56670" w:rsidRPr="00B56670">
        <w:rPr>
          <w:rStyle w:val="Hyperlink"/>
          <w:rFonts w:ascii="Arial" w:hAnsi="Arial" w:cs="Arial"/>
          <w:color w:val="2F5897" w:themeColor="text2"/>
          <w:sz w:val="16"/>
          <w:szCs w:val="16"/>
        </w:rPr>
        <w:t>ASAOffice@ASA-HQ.com</w:t>
      </w:r>
    </w:hyperlink>
    <w:r w:rsidR="00B56670">
      <w:rPr>
        <w:rFonts w:ascii="Arial" w:hAnsi="Arial" w:cs="Arial"/>
        <w:color w:val="2F5897" w:themeColor="text2"/>
        <w:sz w:val="16"/>
        <w:szCs w:val="16"/>
      </w:rPr>
      <w:t>,</w:t>
    </w:r>
    <w:r w:rsidR="00B56670" w:rsidRPr="00B56670">
      <w:rPr>
        <w:rFonts w:ascii="Arial" w:hAnsi="Arial" w:cs="Arial"/>
        <w:color w:val="2F5897" w:themeColor="text2"/>
        <w:sz w:val="16"/>
        <w:szCs w:val="16"/>
      </w:rPr>
      <w:t xml:space="preserve"> </w:t>
    </w:r>
    <w:hyperlink r:id="rId2" w:history="1">
      <w:r w:rsidRPr="00B56670">
        <w:rPr>
          <w:rStyle w:val="Hyperlink"/>
          <w:rFonts w:ascii="Arial" w:hAnsi="Arial" w:cs="Arial"/>
          <w:color w:val="2F5897" w:themeColor="text2"/>
          <w:sz w:val="16"/>
          <w:szCs w:val="16"/>
        </w:rPr>
        <w:t>www.ASAonline.com</w:t>
      </w:r>
    </w:hyperlink>
    <w:r w:rsidRPr="00B56670">
      <w:rPr>
        <w:rFonts w:ascii="Arial" w:hAnsi="Arial" w:cs="Arial"/>
        <w:color w:val="2F5897" w:themeColor="text2"/>
        <w:sz w:val="16"/>
        <w:szCs w:val="16"/>
      </w:rPr>
      <w:t xml:space="preserve">. </w:t>
    </w:r>
  </w:p>
  <w:p w:rsidR="00F4340A" w:rsidRPr="00B56670" w:rsidRDefault="00F4340A">
    <w:pPr>
      <w:pStyle w:val="Footer"/>
      <w:rPr>
        <w:color w:val="2F5897" w:themeColor="text2"/>
      </w:rPr>
    </w:pPr>
    <w:r w:rsidRPr="00B56670">
      <w:rPr>
        <w:rFonts w:ascii="Arial" w:hAnsi="Arial" w:cs="Arial"/>
        <w:color w:val="2F5897" w:themeColor="text2"/>
        <w:sz w:val="16"/>
        <w:szCs w:val="16"/>
      </w:rPr>
      <w:t xml:space="preserve">Licensed for use by current ASA members. This form is </w:t>
    </w:r>
    <w:r w:rsidRPr="00B56670">
      <w:rPr>
        <w:rFonts w:ascii="Arial" w:hAnsi="Arial" w:cs="Arial"/>
        <w:color w:val="2F5897" w:themeColor="text2"/>
        <w:sz w:val="16"/>
        <w:szCs w:val="16"/>
        <w:u w:val="single"/>
      </w:rPr>
      <w:t>not warranted</w:t>
    </w:r>
    <w:r w:rsidRPr="00B56670">
      <w:rPr>
        <w:rFonts w:ascii="Arial" w:hAnsi="Arial" w:cs="Arial"/>
        <w:color w:val="2F5897" w:themeColor="text2"/>
        <w:sz w:val="16"/>
        <w:szCs w:val="16"/>
      </w:rPr>
      <w:t xml:space="preserve"> and is not legal advice.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98" w:rsidRDefault="00083898" w:rsidP="006A632D">
      <w:r>
        <w:separator/>
      </w:r>
    </w:p>
  </w:footnote>
  <w:footnote w:type="continuationSeparator" w:id="0">
    <w:p w:rsidR="00083898" w:rsidRDefault="00083898" w:rsidP="006A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84" w:rsidRDefault="00337184">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2AE"/>
    <w:multiLevelType w:val="hybridMultilevel"/>
    <w:tmpl w:val="9C6A3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7199E"/>
    <w:multiLevelType w:val="hybridMultilevel"/>
    <w:tmpl w:val="FA7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2D"/>
    <w:rsid w:val="00083898"/>
    <w:rsid w:val="00086642"/>
    <w:rsid w:val="000C0DEF"/>
    <w:rsid w:val="000C64AC"/>
    <w:rsid w:val="00111997"/>
    <w:rsid w:val="00192762"/>
    <w:rsid w:val="002E6519"/>
    <w:rsid w:val="00337184"/>
    <w:rsid w:val="003C2F55"/>
    <w:rsid w:val="003D342D"/>
    <w:rsid w:val="003D50E9"/>
    <w:rsid w:val="00405F92"/>
    <w:rsid w:val="004501A9"/>
    <w:rsid w:val="0054153E"/>
    <w:rsid w:val="005B78F9"/>
    <w:rsid w:val="006173D3"/>
    <w:rsid w:val="006A632D"/>
    <w:rsid w:val="006F756E"/>
    <w:rsid w:val="00AB0880"/>
    <w:rsid w:val="00B56670"/>
    <w:rsid w:val="00B75710"/>
    <w:rsid w:val="00BA2681"/>
    <w:rsid w:val="00C0744A"/>
    <w:rsid w:val="00C143FB"/>
    <w:rsid w:val="00C43C21"/>
    <w:rsid w:val="00DA0394"/>
    <w:rsid w:val="00DD2102"/>
    <w:rsid w:val="00DD7F45"/>
    <w:rsid w:val="00DE2931"/>
    <w:rsid w:val="00F4340A"/>
    <w:rsid w:val="00FE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2D"/>
    <w:pPr>
      <w:tabs>
        <w:tab w:val="center" w:pos="4680"/>
        <w:tab w:val="right" w:pos="9360"/>
      </w:tabs>
    </w:pPr>
  </w:style>
  <w:style w:type="character" w:customStyle="1" w:styleId="HeaderChar">
    <w:name w:val="Header Char"/>
    <w:basedOn w:val="DefaultParagraphFont"/>
    <w:link w:val="Header"/>
    <w:uiPriority w:val="99"/>
    <w:rsid w:val="006A632D"/>
    <w:rPr>
      <w:sz w:val="24"/>
      <w:szCs w:val="24"/>
    </w:rPr>
  </w:style>
  <w:style w:type="paragraph" w:styleId="Footer">
    <w:name w:val="footer"/>
    <w:basedOn w:val="Normal"/>
    <w:link w:val="FooterChar"/>
    <w:uiPriority w:val="99"/>
    <w:rsid w:val="006A632D"/>
    <w:pPr>
      <w:tabs>
        <w:tab w:val="center" w:pos="4680"/>
        <w:tab w:val="right" w:pos="9360"/>
      </w:tabs>
    </w:pPr>
  </w:style>
  <w:style w:type="character" w:customStyle="1" w:styleId="FooterChar">
    <w:name w:val="Footer Char"/>
    <w:basedOn w:val="DefaultParagraphFont"/>
    <w:link w:val="Footer"/>
    <w:uiPriority w:val="99"/>
    <w:rsid w:val="006A632D"/>
    <w:rPr>
      <w:sz w:val="24"/>
      <w:szCs w:val="24"/>
    </w:rPr>
  </w:style>
  <w:style w:type="paragraph" w:styleId="BalloonText">
    <w:name w:val="Balloon Text"/>
    <w:basedOn w:val="Normal"/>
    <w:link w:val="BalloonTextChar"/>
    <w:rsid w:val="00192762"/>
    <w:rPr>
      <w:rFonts w:ascii="Tahoma" w:hAnsi="Tahoma" w:cs="Tahoma"/>
      <w:sz w:val="16"/>
      <w:szCs w:val="16"/>
    </w:rPr>
  </w:style>
  <w:style w:type="character" w:customStyle="1" w:styleId="BalloonTextChar">
    <w:name w:val="Balloon Text Char"/>
    <w:basedOn w:val="DefaultParagraphFont"/>
    <w:link w:val="BalloonText"/>
    <w:rsid w:val="00192762"/>
    <w:rPr>
      <w:rFonts w:ascii="Tahoma" w:hAnsi="Tahoma" w:cs="Tahoma"/>
      <w:sz w:val="16"/>
      <w:szCs w:val="16"/>
    </w:rPr>
  </w:style>
  <w:style w:type="paragraph" w:styleId="IntenseQuote">
    <w:name w:val="Intense Quote"/>
    <w:basedOn w:val="Normal"/>
    <w:next w:val="Normal"/>
    <w:link w:val="IntenseQuoteChar"/>
    <w:uiPriority w:val="30"/>
    <w:qFormat/>
    <w:rsid w:val="00192762"/>
    <w:pPr>
      <w:pBdr>
        <w:bottom w:val="single" w:sz="4" w:space="4" w:color="6076B4" w:themeColor="accent1"/>
      </w:pBdr>
      <w:spacing w:before="200" w:after="280" w:line="276" w:lineRule="auto"/>
      <w:ind w:left="936" w:right="936"/>
    </w:pPr>
    <w:rPr>
      <w:rFonts w:asciiTheme="minorHAnsi" w:eastAsiaTheme="minorEastAsia" w:hAnsiTheme="minorHAnsi" w:cstheme="minorBidi"/>
      <w:b/>
      <w:bCs/>
      <w:i/>
      <w:iCs/>
      <w:color w:val="6076B4" w:themeColor="accent1"/>
      <w:sz w:val="22"/>
      <w:szCs w:val="22"/>
      <w:lang w:eastAsia="ja-JP"/>
    </w:rPr>
  </w:style>
  <w:style w:type="character" w:customStyle="1" w:styleId="IntenseQuoteChar">
    <w:name w:val="Intense Quote Char"/>
    <w:basedOn w:val="DefaultParagraphFont"/>
    <w:link w:val="IntenseQuote"/>
    <w:uiPriority w:val="30"/>
    <w:rsid w:val="00192762"/>
    <w:rPr>
      <w:rFonts w:asciiTheme="minorHAnsi" w:eastAsiaTheme="minorEastAsia" w:hAnsiTheme="minorHAnsi" w:cstheme="minorBidi"/>
      <w:b/>
      <w:bCs/>
      <w:i/>
      <w:iCs/>
      <w:color w:val="6076B4" w:themeColor="accent1"/>
      <w:sz w:val="22"/>
      <w:szCs w:val="22"/>
      <w:lang w:eastAsia="ja-JP"/>
    </w:rPr>
  </w:style>
  <w:style w:type="paragraph" w:styleId="Quote">
    <w:name w:val="Quote"/>
    <w:basedOn w:val="Normal"/>
    <w:next w:val="Normal"/>
    <w:link w:val="QuoteChar"/>
    <w:uiPriority w:val="29"/>
    <w:qFormat/>
    <w:rsid w:val="00337184"/>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37184"/>
    <w:rPr>
      <w:rFonts w:asciiTheme="minorHAnsi" w:eastAsiaTheme="minorEastAsia" w:hAnsiTheme="minorHAnsi" w:cstheme="minorBidi"/>
      <w:i/>
      <w:iCs/>
      <w:color w:val="000000" w:themeColor="text1"/>
      <w:sz w:val="22"/>
      <w:szCs w:val="22"/>
      <w:lang w:eastAsia="ja-JP"/>
    </w:rPr>
  </w:style>
  <w:style w:type="character" w:styleId="Hyperlink">
    <w:name w:val="Hyperlink"/>
    <w:basedOn w:val="DefaultParagraphFont"/>
    <w:rsid w:val="00F4340A"/>
    <w:rPr>
      <w:color w:val="3399FF" w:themeColor="hyperlink"/>
      <w:u w:val="single"/>
    </w:rPr>
  </w:style>
  <w:style w:type="paragraph" w:styleId="ListParagraph">
    <w:name w:val="List Paragraph"/>
    <w:basedOn w:val="Normal"/>
    <w:uiPriority w:val="34"/>
    <w:qFormat/>
    <w:rsid w:val="00C43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2D"/>
    <w:pPr>
      <w:tabs>
        <w:tab w:val="center" w:pos="4680"/>
        <w:tab w:val="right" w:pos="9360"/>
      </w:tabs>
    </w:pPr>
  </w:style>
  <w:style w:type="character" w:customStyle="1" w:styleId="HeaderChar">
    <w:name w:val="Header Char"/>
    <w:basedOn w:val="DefaultParagraphFont"/>
    <w:link w:val="Header"/>
    <w:uiPriority w:val="99"/>
    <w:rsid w:val="006A632D"/>
    <w:rPr>
      <w:sz w:val="24"/>
      <w:szCs w:val="24"/>
    </w:rPr>
  </w:style>
  <w:style w:type="paragraph" w:styleId="Footer">
    <w:name w:val="footer"/>
    <w:basedOn w:val="Normal"/>
    <w:link w:val="FooterChar"/>
    <w:uiPriority w:val="99"/>
    <w:rsid w:val="006A632D"/>
    <w:pPr>
      <w:tabs>
        <w:tab w:val="center" w:pos="4680"/>
        <w:tab w:val="right" w:pos="9360"/>
      </w:tabs>
    </w:pPr>
  </w:style>
  <w:style w:type="character" w:customStyle="1" w:styleId="FooterChar">
    <w:name w:val="Footer Char"/>
    <w:basedOn w:val="DefaultParagraphFont"/>
    <w:link w:val="Footer"/>
    <w:uiPriority w:val="99"/>
    <w:rsid w:val="006A632D"/>
    <w:rPr>
      <w:sz w:val="24"/>
      <w:szCs w:val="24"/>
    </w:rPr>
  </w:style>
  <w:style w:type="paragraph" w:styleId="BalloonText">
    <w:name w:val="Balloon Text"/>
    <w:basedOn w:val="Normal"/>
    <w:link w:val="BalloonTextChar"/>
    <w:rsid w:val="00192762"/>
    <w:rPr>
      <w:rFonts w:ascii="Tahoma" w:hAnsi="Tahoma" w:cs="Tahoma"/>
      <w:sz w:val="16"/>
      <w:szCs w:val="16"/>
    </w:rPr>
  </w:style>
  <w:style w:type="character" w:customStyle="1" w:styleId="BalloonTextChar">
    <w:name w:val="Balloon Text Char"/>
    <w:basedOn w:val="DefaultParagraphFont"/>
    <w:link w:val="BalloonText"/>
    <w:rsid w:val="00192762"/>
    <w:rPr>
      <w:rFonts w:ascii="Tahoma" w:hAnsi="Tahoma" w:cs="Tahoma"/>
      <w:sz w:val="16"/>
      <w:szCs w:val="16"/>
    </w:rPr>
  </w:style>
  <w:style w:type="paragraph" w:styleId="IntenseQuote">
    <w:name w:val="Intense Quote"/>
    <w:basedOn w:val="Normal"/>
    <w:next w:val="Normal"/>
    <w:link w:val="IntenseQuoteChar"/>
    <w:uiPriority w:val="30"/>
    <w:qFormat/>
    <w:rsid w:val="00192762"/>
    <w:pPr>
      <w:pBdr>
        <w:bottom w:val="single" w:sz="4" w:space="4" w:color="6076B4" w:themeColor="accent1"/>
      </w:pBdr>
      <w:spacing w:before="200" w:after="280" w:line="276" w:lineRule="auto"/>
      <w:ind w:left="936" w:right="936"/>
    </w:pPr>
    <w:rPr>
      <w:rFonts w:asciiTheme="minorHAnsi" w:eastAsiaTheme="minorEastAsia" w:hAnsiTheme="minorHAnsi" w:cstheme="minorBidi"/>
      <w:b/>
      <w:bCs/>
      <w:i/>
      <w:iCs/>
      <w:color w:val="6076B4" w:themeColor="accent1"/>
      <w:sz w:val="22"/>
      <w:szCs w:val="22"/>
      <w:lang w:eastAsia="ja-JP"/>
    </w:rPr>
  </w:style>
  <w:style w:type="character" w:customStyle="1" w:styleId="IntenseQuoteChar">
    <w:name w:val="Intense Quote Char"/>
    <w:basedOn w:val="DefaultParagraphFont"/>
    <w:link w:val="IntenseQuote"/>
    <w:uiPriority w:val="30"/>
    <w:rsid w:val="00192762"/>
    <w:rPr>
      <w:rFonts w:asciiTheme="minorHAnsi" w:eastAsiaTheme="minorEastAsia" w:hAnsiTheme="minorHAnsi" w:cstheme="minorBidi"/>
      <w:b/>
      <w:bCs/>
      <w:i/>
      <w:iCs/>
      <w:color w:val="6076B4" w:themeColor="accent1"/>
      <w:sz w:val="22"/>
      <w:szCs w:val="22"/>
      <w:lang w:eastAsia="ja-JP"/>
    </w:rPr>
  </w:style>
  <w:style w:type="paragraph" w:styleId="Quote">
    <w:name w:val="Quote"/>
    <w:basedOn w:val="Normal"/>
    <w:next w:val="Normal"/>
    <w:link w:val="QuoteChar"/>
    <w:uiPriority w:val="29"/>
    <w:qFormat/>
    <w:rsid w:val="00337184"/>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37184"/>
    <w:rPr>
      <w:rFonts w:asciiTheme="minorHAnsi" w:eastAsiaTheme="minorEastAsia" w:hAnsiTheme="minorHAnsi" w:cstheme="minorBidi"/>
      <w:i/>
      <w:iCs/>
      <w:color w:val="000000" w:themeColor="text1"/>
      <w:sz w:val="22"/>
      <w:szCs w:val="22"/>
      <w:lang w:eastAsia="ja-JP"/>
    </w:rPr>
  </w:style>
  <w:style w:type="character" w:styleId="Hyperlink">
    <w:name w:val="Hyperlink"/>
    <w:basedOn w:val="DefaultParagraphFont"/>
    <w:rsid w:val="00F4340A"/>
    <w:rPr>
      <w:color w:val="3399FF" w:themeColor="hyperlink"/>
      <w:u w:val="single"/>
    </w:rPr>
  </w:style>
  <w:style w:type="paragraph" w:styleId="ListParagraph">
    <w:name w:val="List Paragraph"/>
    <w:basedOn w:val="Normal"/>
    <w:uiPriority w:val="34"/>
    <w:qFormat/>
    <w:rsid w:val="00C4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SAonlin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SAonline.com" TargetMode="External"/><Relationship Id="rId2" Type="http://schemas.openxmlformats.org/officeDocument/2006/relationships/numbering" Target="numbering.xml"/><Relationship Id="rId16" Type="http://schemas.openxmlformats.org/officeDocument/2006/relationships/hyperlink" Target="http://www.ASAonline.com" TargetMode="External"/><Relationship Id="rId20" Type="http://schemas.openxmlformats.org/officeDocument/2006/relationships/hyperlink" Target="http://www.aia.org/contractdo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eader" Target="header2.xml"/><Relationship Id="rId19" Type="http://schemas.openxmlformats.org/officeDocument/2006/relationships/hyperlink" Target="http://www.ConsensusDocs.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SAonline.com" TargetMode="External"/><Relationship Id="rId1" Type="http://schemas.openxmlformats.org/officeDocument/2006/relationships/hyperlink" Target="mailto:ASAOffice@ASA-HQ.co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4FB0-C627-4D1E-B475-D0679379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Nelson</dc:creator>
  <cp:lastModifiedBy>ASACP</cp:lastModifiedBy>
  <cp:revision>2</cp:revision>
  <cp:lastPrinted>2013-04-26T17:42:00Z</cp:lastPrinted>
  <dcterms:created xsi:type="dcterms:W3CDTF">2014-09-09T15:45:00Z</dcterms:created>
  <dcterms:modified xsi:type="dcterms:W3CDTF">2014-09-09T15:45:00Z</dcterms:modified>
</cp:coreProperties>
</file>